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黑体"/>
          <w:kern w:val="0"/>
          <w:sz w:val="32"/>
          <w:szCs w:val="32"/>
        </w:rPr>
      </w:pPr>
      <w:r>
        <w:rPr>
          <w:rFonts w:hint="eastAsia" w:ascii="黑体" w:hAnsi="黑体" w:eastAsia="黑体" w:cs="黑体"/>
          <w:kern w:val="0"/>
          <w:sz w:val="32"/>
          <w:szCs w:val="32"/>
        </w:rPr>
        <w:t>附件1：</w:t>
      </w:r>
    </w:p>
    <w:p>
      <w:pPr>
        <w:spacing w:line="440" w:lineRule="exact"/>
        <w:jc w:val="left"/>
        <w:rPr>
          <w:rFonts w:ascii="楷体_GB2312" w:hAnsi="华文仿宋" w:eastAsia="楷体_GB2312"/>
          <w:kern w:val="0"/>
          <w:sz w:val="30"/>
          <w:szCs w:val="30"/>
        </w:rPr>
      </w:pPr>
    </w:p>
    <w:p>
      <w:pPr>
        <w:spacing w:line="600" w:lineRule="exact"/>
        <w:jc w:val="center"/>
        <w:rPr>
          <w:rFonts w:ascii="华文中宋" w:hAnsi="华文中宋" w:eastAsia="华文中宋"/>
          <w:w w:val="92"/>
          <w:kern w:val="0"/>
          <w:sz w:val="44"/>
          <w:szCs w:val="44"/>
        </w:rPr>
      </w:pPr>
      <w:r>
        <w:rPr>
          <w:rFonts w:hint="eastAsia" w:ascii="华文中宋" w:hAnsi="华文中宋" w:eastAsia="华文中宋"/>
          <w:w w:val="92"/>
          <w:kern w:val="0"/>
          <w:sz w:val="44"/>
          <w:szCs w:val="44"/>
        </w:rPr>
        <w:t>2023年湖州市哲学社会科学规划课题</w:t>
      </w:r>
    </w:p>
    <w:p>
      <w:pPr>
        <w:spacing w:line="600" w:lineRule="exact"/>
        <w:jc w:val="center"/>
        <w:rPr>
          <w:rFonts w:ascii="仿宋_GB2312" w:hAnsi="华文仿宋" w:eastAsia="仿宋_GB2312"/>
          <w:kern w:val="0"/>
          <w:sz w:val="30"/>
          <w:szCs w:val="30"/>
        </w:rPr>
      </w:pPr>
      <w:r>
        <w:rPr>
          <w:rFonts w:hint="eastAsia" w:ascii="华文中宋" w:hAnsi="华文中宋" w:eastAsia="华文中宋"/>
          <w:w w:val="92"/>
          <w:kern w:val="0"/>
          <w:sz w:val="44"/>
          <w:szCs w:val="44"/>
        </w:rPr>
        <w:t>申报指南</w:t>
      </w:r>
    </w:p>
    <w:p>
      <w:pPr>
        <w:spacing w:line="560" w:lineRule="exact"/>
        <w:ind w:firstLine="480" w:firstLineChars="150"/>
        <w:rPr>
          <w:rFonts w:ascii="仿宋_GB2312" w:hAnsi="仿宋_GB2312" w:eastAsia="仿宋_GB2312" w:cs="仿宋_GB2312"/>
          <w:kern w:val="0"/>
          <w:sz w:val="32"/>
          <w:szCs w:val="32"/>
        </w:rPr>
      </w:pPr>
    </w:p>
    <w:p>
      <w:pPr>
        <w:spacing w:line="56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1.关于深化“在湖州看见美丽中国”实干争先主题实践的系列研究；</w:t>
      </w:r>
    </w:p>
    <w:p>
      <w:pPr>
        <w:spacing w:line="56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2.关于践行“八八战略”的湖州实践系列研究；</w:t>
      </w:r>
    </w:p>
    <w:p>
      <w:pPr>
        <w:spacing w:line="56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3.关于建设“六个新湖州”系列研究；</w:t>
      </w:r>
    </w:p>
    <w:p>
      <w:pPr>
        <w:spacing w:line="56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4.关于中国式现代化的湖州实践系列研究；</w:t>
      </w:r>
    </w:p>
    <w:p>
      <w:pPr>
        <w:spacing w:line="560" w:lineRule="exact"/>
        <w:ind w:firstLine="480" w:firstLine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5.关于湖州打造绿色智造名城的对策研究；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6.关于加快推进南太湖新区建设长三角产城融合示范地的对策研究；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7.关于实施新兴产业链链长制的实践研究；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8.关于加快推动生活性服务业加速回暖的对策研究；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9.关于创建现代化内河航运体系先行示范区的对策建议；</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10.关于深入推进创谷经济发展的对策研究；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11.关于打造杭州城西科创大走廊北翼中心的对策研究；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12.关于全面提升湖州招商引资质效的对策研究；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13.关于湖州争创国家营商环境创新试点城市的对策研究；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14.关于湖州全面发展“八业千亿”乡村产业的对策研究；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15.关于湖州争创国家农业高新技术产业示范区的对策研究；</w:t>
      </w:r>
    </w:p>
    <w:p>
      <w:pPr>
        <w:spacing w:line="560" w:lineRule="exact"/>
        <w:ind w:firstLine="480" w:firstLineChars="150"/>
        <w:rPr>
          <w:rFonts w:ascii="仿宋_GB2312" w:hAnsi="楷体" w:eastAsia="仿宋_GB2312" w:cs="仿宋_GB2312"/>
          <w:kern w:val="0"/>
          <w:sz w:val="32"/>
          <w:szCs w:val="32"/>
        </w:rPr>
      </w:pPr>
      <w:r>
        <w:rPr>
          <w:rFonts w:hint="eastAsia" w:ascii="仿宋_GB2312" w:hAnsi="华文仿宋" w:eastAsia="仿宋_GB2312"/>
          <w:kern w:val="0"/>
          <w:sz w:val="32"/>
          <w:szCs w:val="32"/>
        </w:rPr>
        <w:t>16.关于深化“千村示范、万村整治”工程的对策研究；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17.关于总体国家安全观的理论与实践研究；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18.关于统筹发展和安全，提升市域维护和塑造国家安全能力研究；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19.关于打造具有湖州特色的生态安全格局研究；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20.关于湖州全面落实干部正向激励和容错纠错机制研究；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21.关于湖州打造精神富有市域样板的对策研究；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22.关于湖州打造“湖山间的文化客厅”的对策研究；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23.关于加快建设长田漾生态文化区的对策研究；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24.关于湖州加快建设老城历史文化区的对策研究；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25.关于打通市河沿线文化展示路径的对策研究；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26.关于湖州打造“典藏中的名胜古迹”的对策研究；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27.关于推进湖州传统习俗文化传承发展的对策研究；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28.关于传承振兴湖学文化的对策研究；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29.关于促进湖州历史经典产业和“老字号”创新发展的对策研究；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30.关于湖州创建“东亚文化之都”的对策研究；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31.关于湖州推进艺术乡建全域行动的对策研究；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32.关于湖州推进文艺精品攀峰计划的对策研究；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33.关于湖州实施文旅高峰塑造工程的对策研究；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34.关于湖州加快大运河诗路文化带、“浙北秘境”示范带、环太湖生态文化旅游圈建设的对策研究；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35.关于湖州高品质打造长三角休闲娱乐中心的对策研究；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36.关于湖州打造中国江南文化体验中心的对策研究；</w:t>
      </w:r>
    </w:p>
    <w:p>
      <w:pPr>
        <w:pStyle w:val="3"/>
        <w:spacing w:after="0"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37.关于湖州打造国际乡村度假中心的对策研究；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38.关</w:t>
      </w:r>
      <w:r>
        <w:rPr>
          <w:rFonts w:hint="eastAsia" w:ascii="仿宋_GB2312" w:hAnsi="楷体" w:eastAsia="仿宋_GB2312" w:cs="仿宋_GB2312"/>
          <w:kern w:val="0"/>
          <w:sz w:val="32"/>
          <w:szCs w:val="32"/>
        </w:rPr>
        <w:t>于湖州争创国家文化和旅游消费示范城市的对策研究</w:t>
      </w:r>
      <w:r>
        <w:rPr>
          <w:rFonts w:hint="eastAsia" w:ascii="仿宋_GB2312" w:hAnsi="华文仿宋" w:eastAsia="仿宋_GB2312"/>
          <w:kern w:val="0"/>
          <w:sz w:val="32"/>
          <w:szCs w:val="32"/>
        </w:rPr>
        <w:t>；</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39.关</w:t>
      </w:r>
      <w:r>
        <w:rPr>
          <w:rFonts w:hint="eastAsia" w:ascii="仿宋_GB2312" w:hAnsi="楷体" w:eastAsia="仿宋_GB2312" w:cs="仿宋_GB2312"/>
          <w:kern w:val="0"/>
          <w:sz w:val="32"/>
          <w:szCs w:val="32"/>
        </w:rPr>
        <w:t>于湖州深入实施“四全”典范力提升行动的对策研究</w:t>
      </w:r>
      <w:r>
        <w:rPr>
          <w:rFonts w:hint="eastAsia" w:ascii="仿宋_GB2312" w:hAnsi="华文仿宋" w:eastAsia="仿宋_GB2312"/>
          <w:kern w:val="0"/>
          <w:sz w:val="32"/>
          <w:szCs w:val="32"/>
        </w:rPr>
        <w:t>；</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40.关</w:t>
      </w:r>
      <w:r>
        <w:rPr>
          <w:rFonts w:hint="eastAsia" w:ascii="仿宋_GB2312" w:hAnsi="楷体" w:eastAsia="仿宋_GB2312" w:cs="仿宋_GB2312"/>
          <w:kern w:val="0"/>
          <w:sz w:val="32"/>
          <w:szCs w:val="32"/>
        </w:rPr>
        <w:t>于湖州深化拓展新时代文明实践中心建设的对策研究</w:t>
      </w:r>
      <w:r>
        <w:rPr>
          <w:rFonts w:hint="eastAsia" w:ascii="仿宋_GB2312" w:hAnsi="华文仿宋" w:eastAsia="仿宋_GB2312"/>
          <w:kern w:val="0"/>
          <w:sz w:val="32"/>
          <w:szCs w:val="32"/>
        </w:rPr>
        <w:t>；</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41.关于湖州深化绿色文明生活指数集成改革研究；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42.关于湖州深入实施“光盘行动”的对策研究；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43.关于打响“学在湖州”品牌的对策研究；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44.关于推进湖州城乡精神文明建设融合发展的对策研究；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45.关于湖州思政教师队伍专业化建设研究；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46.关于湖州推进大中小学思政教育一体化建设学业评价机制研究；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47.关于一体化视域下党的二十大精神融入思政教育路径研究；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48.关于一体化视域下地方文化资源融入思政教育的实践研究；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49.基于“大思政”理念的思政教育一体化建设研究；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50.关于新时代湖州少先队工作的理论研究与实践探索；</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51.关于实施“1113”招才引智工程的对策研究；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52.关于加快“青创新城”建设（把湖州打造成为青年人才向往之城）的对策研究；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53.关于湖州全面建设融入长三角高水平交通强市的对策研究；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54.关于湖州与推进上海大都市圈、杭州都市圈空间协同规划的对策研究；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55.关</w:t>
      </w:r>
      <w:r>
        <w:rPr>
          <w:rFonts w:hint="eastAsia" w:ascii="仿宋_GB2312" w:hAnsi="楷体" w:eastAsia="仿宋_GB2312" w:cs="仿宋_GB2312"/>
          <w:kern w:val="0"/>
          <w:sz w:val="32"/>
          <w:szCs w:val="32"/>
        </w:rPr>
        <w:t>于完善城乡一体的规划建设和风貌管控体制机制研究</w:t>
      </w:r>
      <w:r>
        <w:rPr>
          <w:rFonts w:hint="eastAsia" w:ascii="仿宋_GB2312" w:hAnsi="华文仿宋" w:eastAsia="仿宋_GB2312"/>
          <w:kern w:val="0"/>
          <w:sz w:val="32"/>
          <w:szCs w:val="32"/>
        </w:rPr>
        <w:t>；</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56.关于加快建设西塞山科学城的对策研究；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57.关于推进城市有机更新的对策研究；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58.关于提升湖州城市精细化管理水平的对策研究；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59.关于深化湖州“大综合一体化”行政执法改革的对策研究；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60.关于湖州深入推进“扩中提低”行动增加中等收入群体的对策研究；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61.关于深化强村富民乡村集成改革研究；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62.关于深化数字湖州建设的对策研究；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63.关于湖州高标准建设国家可持续发展议程创新示范区的对策研究；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64.关于湖州全面推进省级绿色低碳创新综合改革试验区建设的对策研究；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65.关于湖州争创国家碳达峰试点城市、省级减污降碳协同创新城市的对策研究；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66.关于湖州打造全省绿色认证先行示范区的对策研究；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67.关于湖州加快生态文明典范城市建设的对策研究；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68.关于湖州推进生态文明制度创新的对策研究；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69.关</w:t>
      </w:r>
      <w:r>
        <w:rPr>
          <w:rFonts w:hint="eastAsia" w:ascii="仿宋_GB2312" w:hAnsi="楷体" w:eastAsia="仿宋_GB2312" w:cs="仿宋_GB2312"/>
          <w:kern w:val="0"/>
          <w:sz w:val="32"/>
          <w:szCs w:val="32"/>
        </w:rPr>
        <w:t>于推进湖州生态文明国际合作示范区建设的对策研究</w:t>
      </w:r>
      <w:r>
        <w:rPr>
          <w:rFonts w:hint="eastAsia" w:ascii="仿宋_GB2312" w:hAnsi="华文仿宋" w:eastAsia="仿宋_GB2312"/>
          <w:kern w:val="0"/>
          <w:sz w:val="32"/>
          <w:szCs w:val="32"/>
        </w:rPr>
        <w:t>；</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70.“绿水青山就是金山银山”理念与中国式现代化研究；</w:t>
      </w:r>
    </w:p>
    <w:p>
      <w:pPr>
        <w:spacing w:line="560" w:lineRule="exact"/>
        <w:ind w:firstLine="480" w:firstLineChars="150"/>
        <w:rPr>
          <w:kern w:val="0"/>
        </w:rPr>
      </w:pPr>
      <w:r>
        <w:rPr>
          <w:rFonts w:hint="eastAsia" w:ascii="仿宋_GB2312" w:hAnsi="华文仿宋" w:eastAsia="仿宋_GB2312"/>
          <w:kern w:val="0"/>
          <w:sz w:val="32"/>
          <w:szCs w:val="32"/>
        </w:rPr>
        <w:t>71.“绿水青山就是金山银山”理念与“八八战略”研究；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72.关于深入推进湖州文化乡村建设的对策研究；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73.关于构建环太湖文旅带的对策研究；</w:t>
      </w:r>
    </w:p>
    <w:p>
      <w:pPr>
        <w:spacing w:line="54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74.关于加强人民政协制度化、规范化、程序化等功能建设的湖州实践研究；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75.关于人民政协凝聚共识制度机制优势及其优化路径研究；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76.关于人民政协以民主监督凝聚共识的政治逻辑与湖州实践路径研究；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77.关于增强理论宣讲在基层社会治理中作用的研究；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78.关于湖州基层干部群众关心的思想理论问题的调查研究；</w:t>
      </w:r>
    </w:p>
    <w:p>
      <w:pPr>
        <w:spacing w:line="560" w:lineRule="exact"/>
        <w:ind w:firstLine="480" w:firstLineChars="150"/>
        <w:rPr>
          <w:rFonts w:ascii="仿宋_GB2312" w:hAnsi="华文仿宋" w:eastAsia="仿宋_GB2312"/>
          <w:kern w:val="0"/>
          <w:sz w:val="32"/>
          <w:szCs w:val="32"/>
        </w:rPr>
      </w:pPr>
      <w:r>
        <w:rPr>
          <w:rFonts w:hint="eastAsia" w:ascii="仿宋_GB2312" w:hAnsi="华文仿宋" w:eastAsia="仿宋_GB2312"/>
          <w:kern w:val="0"/>
          <w:sz w:val="32"/>
          <w:szCs w:val="32"/>
        </w:rPr>
        <w:t>79.关于新时代湖州市域媒体融合经验的调查研究。</w:t>
      </w:r>
    </w:p>
    <w:p>
      <w:pPr>
        <w:spacing w:before="100" w:beforeAutospacing="1" w:after="100" w:afterAutospacing="1" w:line="500" w:lineRule="exact"/>
        <w:rPr>
          <w:rFonts w:ascii="新宋体" w:hAnsi="新宋体" w:eastAsia="新宋体" w:cs="宋体"/>
          <w:b/>
          <w:kern w:val="0"/>
          <w:sz w:val="28"/>
          <w:szCs w:val="28"/>
        </w:rPr>
      </w:pPr>
    </w:p>
    <w:p>
      <w:pPr>
        <w:spacing w:before="100" w:beforeAutospacing="1" w:after="100" w:afterAutospacing="1" w:line="500" w:lineRule="exact"/>
        <w:rPr>
          <w:rFonts w:ascii="新宋体" w:hAnsi="新宋体" w:eastAsia="新宋体" w:cs="宋体"/>
          <w:b/>
          <w:kern w:val="0"/>
          <w:sz w:val="28"/>
          <w:szCs w:val="28"/>
        </w:rPr>
      </w:pPr>
    </w:p>
    <w:p>
      <w:pPr>
        <w:spacing w:before="100" w:beforeAutospacing="1" w:after="100" w:afterAutospacing="1" w:line="500" w:lineRule="exact"/>
        <w:rPr>
          <w:rFonts w:ascii="新宋体" w:hAnsi="新宋体" w:eastAsia="新宋体" w:cs="宋体"/>
          <w:b/>
          <w:kern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WM2NTQzNWU3MGM0NGE3N2JmZjE0NTRlYzI4NTIifQ=="/>
  </w:docVars>
  <w:rsids>
    <w:rsidRoot w:val="00000000"/>
    <w:rsid w:val="0827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First Indent"/>
    <w:basedOn w:val="2"/>
    <w:next w:val="1"/>
    <w:qFormat/>
    <w:uiPriority w:val="0"/>
    <w:pPr>
      <w:adjustRightInd w:val="0"/>
      <w:spacing w:line="360" w:lineRule="auto"/>
      <w:ind w:firstLine="420" w:firstLineChars="100"/>
    </w:pPr>
    <w:rPr>
      <w:rFonts w:ascii="Times New Roman" w:hAnsi="Times New Roman" w:eastAsia="方正仿宋简体" w:cs="Times New Roman"/>
      <w:snapToGrid w:val="0"/>
      <w:kern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2023-03-30T06:07:43Z</dcterms:created>
  <dc:creator>12945</dc:creator>
  <cp:lastModifiedBy>12945</cp:lastModifiedBy>
  <dcterms:modified xsi:type="dcterms:W3CDTF">2023-03-30T06:08:01Z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287859DA330E4A63B173AB86A9EE4E8F_12</vt:lpwstr>
  </property>
</Properties>
</file>