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7092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center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</w:t>
      </w:r>
      <w:r>
        <w:rPr>
          <w:rFonts w:ascii="Helvetica" w:hAnsi="Helvetica" w:cs="Helvetica"/>
          <w:spacing w:val="30"/>
        </w:rPr>
        <w:t>年度第二批</w:t>
      </w:r>
      <w:r>
        <w:rPr>
          <w:rFonts w:ascii="Helvetica" w:hAnsi="Helvetica" w:cs="Helvetica"/>
          <w:spacing w:val="30"/>
        </w:rPr>
        <w:t>“</w:t>
      </w:r>
      <w:r>
        <w:rPr>
          <w:rFonts w:ascii="Helvetica" w:hAnsi="Helvetica" w:cs="Helvetica"/>
          <w:spacing w:val="30"/>
        </w:rPr>
        <w:t>三农</w:t>
      </w:r>
      <w:r>
        <w:rPr>
          <w:rFonts w:ascii="Helvetica" w:hAnsi="Helvetica" w:cs="Helvetica"/>
          <w:spacing w:val="30"/>
        </w:rPr>
        <w:t>”</w:t>
      </w:r>
      <w:r>
        <w:rPr>
          <w:rFonts w:ascii="Helvetica" w:hAnsi="Helvetica" w:cs="Helvetica"/>
          <w:spacing w:val="30"/>
        </w:rPr>
        <w:t>战略性课题研究目录</w:t>
      </w:r>
    </w:p>
    <w:p w14:paraId="249334C8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20230201</w:t>
      </w:r>
      <w:r>
        <w:rPr>
          <w:rFonts w:ascii="Helvetica" w:hAnsi="Helvetica" w:cs="Helvetica"/>
          <w:spacing w:val="30"/>
        </w:rPr>
        <w:t>（课题序号，下同）</w:t>
      </w:r>
      <w:r>
        <w:rPr>
          <w:rFonts w:ascii="Helvetica" w:hAnsi="Helvetica" w:cs="Helvetica"/>
          <w:spacing w:val="30"/>
        </w:rPr>
        <w:t>——</w:t>
      </w:r>
      <w:proofErr w:type="gramStart"/>
      <w:r>
        <w:rPr>
          <w:rFonts w:ascii="Helvetica" w:hAnsi="Helvetica" w:cs="Helvetica"/>
          <w:spacing w:val="30"/>
        </w:rPr>
        <w:t>健全种粮农民收益</w:t>
      </w:r>
      <w:proofErr w:type="gramEnd"/>
      <w:r>
        <w:rPr>
          <w:rFonts w:ascii="Helvetica" w:hAnsi="Helvetica" w:cs="Helvetica"/>
          <w:spacing w:val="30"/>
        </w:rPr>
        <w:t>保障和粮食主产区补偿机制研究</w:t>
      </w:r>
    </w:p>
    <w:p w14:paraId="3E5CA8C9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通过理论研究和调查分析，梳理总结种粮农</w:t>
      </w:r>
      <w:proofErr w:type="gramStart"/>
      <w:r>
        <w:rPr>
          <w:rFonts w:ascii="Helvetica" w:hAnsi="Helvetica" w:cs="Helvetica"/>
          <w:spacing w:val="30"/>
        </w:rPr>
        <w:t>民收益</w:t>
      </w:r>
      <w:proofErr w:type="gramEnd"/>
      <w:r>
        <w:rPr>
          <w:rFonts w:ascii="Helvetica" w:hAnsi="Helvetica" w:cs="Helvetica"/>
          <w:spacing w:val="30"/>
        </w:rPr>
        <w:t>保障、粮食主产区（产粮大县，下同）利益补偿的政策框架和地方创新性经验做法，剖析深层次矛盾和问题，从</w:t>
      </w:r>
      <w:proofErr w:type="gramStart"/>
      <w:r>
        <w:rPr>
          <w:rFonts w:ascii="Helvetica" w:hAnsi="Helvetica" w:cs="Helvetica"/>
          <w:spacing w:val="30"/>
        </w:rPr>
        <w:t>完善种粮农民收益</w:t>
      </w:r>
      <w:proofErr w:type="gramEnd"/>
      <w:r>
        <w:rPr>
          <w:rFonts w:ascii="Helvetica" w:hAnsi="Helvetica" w:cs="Helvetica"/>
          <w:spacing w:val="30"/>
        </w:rPr>
        <w:t>保障、粮食主产区利益补偿等方面，创新建立纵向补偿与横向补偿相配套的机制以及可操作、可计算的补偿办法，提出针对性政策建议。</w:t>
      </w:r>
    </w:p>
    <w:p w14:paraId="03C3FAFB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20230202——</w:t>
      </w:r>
      <w:r>
        <w:rPr>
          <w:rFonts w:ascii="Helvetica" w:hAnsi="Helvetica" w:cs="Helvetica"/>
          <w:spacing w:val="30"/>
        </w:rPr>
        <w:t>建立健全社会资本投资农业农村机制研究</w:t>
      </w:r>
    </w:p>
    <w:p w14:paraId="108023C9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梳理总结各地建立健全社会资本投资农业农村机制的成功经验，剖析深层次困难与问题，研究提出加强社会资本下乡引入、使用、退出的全过程监管，健全社会资本通过流转取得土地经营权的资格审查、项目审核和风险防范的制度机制以及鼓励引导社会资本下乡、优化营商环境的政策措施。</w:t>
      </w:r>
    </w:p>
    <w:p w14:paraId="1EE99D21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20230203——“</w:t>
      </w:r>
      <w:r>
        <w:rPr>
          <w:rFonts w:ascii="Helvetica" w:hAnsi="Helvetica" w:cs="Helvetica"/>
          <w:spacing w:val="30"/>
        </w:rPr>
        <w:t>小田并大田</w:t>
      </w:r>
      <w:r>
        <w:rPr>
          <w:rFonts w:ascii="Helvetica" w:hAnsi="Helvetica" w:cs="Helvetica"/>
          <w:spacing w:val="30"/>
        </w:rPr>
        <w:t>”</w:t>
      </w:r>
      <w:r>
        <w:rPr>
          <w:rFonts w:ascii="Helvetica" w:hAnsi="Helvetica" w:cs="Helvetica"/>
          <w:spacing w:val="30"/>
        </w:rPr>
        <w:t>实施路径及经营机制研究</w:t>
      </w:r>
    </w:p>
    <w:p w14:paraId="033DBCEE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通过理论研究和调查分析，梳理典型地区</w:t>
      </w:r>
      <w:r>
        <w:rPr>
          <w:rFonts w:ascii="Helvetica" w:hAnsi="Helvetica" w:cs="Helvetica"/>
          <w:spacing w:val="30"/>
        </w:rPr>
        <w:t>“</w:t>
      </w:r>
      <w:r>
        <w:rPr>
          <w:rFonts w:ascii="Helvetica" w:hAnsi="Helvetica" w:cs="Helvetica"/>
          <w:spacing w:val="30"/>
        </w:rPr>
        <w:t>小田并大田</w:t>
      </w:r>
      <w:r>
        <w:rPr>
          <w:rFonts w:ascii="Helvetica" w:hAnsi="Helvetica" w:cs="Helvetica"/>
          <w:spacing w:val="30"/>
        </w:rPr>
        <w:t>”</w:t>
      </w:r>
      <w:r>
        <w:rPr>
          <w:rFonts w:ascii="Helvetica" w:hAnsi="Helvetica" w:cs="Helvetica"/>
          <w:spacing w:val="30"/>
        </w:rPr>
        <w:t>的不同路径及经营方式，从促进农业适度规模经营、破解</w:t>
      </w:r>
      <w:r>
        <w:rPr>
          <w:rFonts w:ascii="Helvetica" w:hAnsi="Helvetica" w:cs="Helvetica"/>
          <w:spacing w:val="30"/>
        </w:rPr>
        <w:t>“</w:t>
      </w:r>
      <w:r>
        <w:rPr>
          <w:rFonts w:ascii="Helvetica" w:hAnsi="Helvetica" w:cs="Helvetica"/>
          <w:spacing w:val="30"/>
        </w:rPr>
        <w:t>谁来种地</w:t>
      </w:r>
      <w:r>
        <w:rPr>
          <w:rFonts w:ascii="Helvetica" w:hAnsi="Helvetica" w:cs="Helvetica"/>
          <w:spacing w:val="30"/>
        </w:rPr>
        <w:t>”</w:t>
      </w:r>
      <w:r>
        <w:rPr>
          <w:rFonts w:ascii="Helvetica" w:hAnsi="Helvetica" w:cs="Helvetica"/>
          <w:spacing w:val="30"/>
        </w:rPr>
        <w:t>问题、加快高效生态农业强省建设等方面出发，研究提出有序推动</w:t>
      </w:r>
      <w:r>
        <w:rPr>
          <w:rFonts w:ascii="Helvetica" w:hAnsi="Helvetica" w:cs="Helvetica"/>
          <w:spacing w:val="30"/>
        </w:rPr>
        <w:t>“</w:t>
      </w:r>
      <w:r>
        <w:rPr>
          <w:rFonts w:ascii="Helvetica" w:hAnsi="Helvetica" w:cs="Helvetica"/>
          <w:spacing w:val="30"/>
        </w:rPr>
        <w:t>小田并大田</w:t>
      </w:r>
      <w:r>
        <w:rPr>
          <w:rFonts w:ascii="Helvetica" w:hAnsi="Helvetica" w:cs="Helvetica"/>
          <w:spacing w:val="30"/>
        </w:rPr>
        <w:t>”</w:t>
      </w:r>
      <w:r>
        <w:rPr>
          <w:rFonts w:ascii="Helvetica" w:hAnsi="Helvetica" w:cs="Helvetica"/>
          <w:spacing w:val="30"/>
        </w:rPr>
        <w:t>工作的政策建议。</w:t>
      </w:r>
    </w:p>
    <w:p w14:paraId="7285A3F1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20230204——</w:t>
      </w:r>
      <w:r>
        <w:rPr>
          <w:rFonts w:ascii="Helvetica" w:hAnsi="Helvetica" w:cs="Helvetica"/>
          <w:spacing w:val="30"/>
        </w:rPr>
        <w:t>山区海岛县人口变化趋势及对乡村振兴的影响研究</w:t>
      </w:r>
      <w:r>
        <w:rPr>
          <w:rFonts w:ascii="Helvetica" w:hAnsi="Helvetica" w:cs="Helvetica"/>
          <w:spacing w:val="30"/>
        </w:rPr>
        <w:t>    </w:t>
      </w:r>
      <w:r>
        <w:rPr>
          <w:rFonts w:ascii="Helvetica" w:hAnsi="Helvetica" w:cs="Helvetica"/>
          <w:spacing w:val="30"/>
        </w:rPr>
        <w:t>通过调查浙江省山区海岛县本世纪以来城乡人口变化现状，预测</w:t>
      </w:r>
      <w:proofErr w:type="gramStart"/>
      <w:r>
        <w:rPr>
          <w:rFonts w:ascii="Helvetica" w:hAnsi="Helvetica" w:cs="Helvetica"/>
          <w:spacing w:val="30"/>
        </w:rPr>
        <w:t>研判山区</w:t>
      </w:r>
      <w:proofErr w:type="gramEnd"/>
      <w:r>
        <w:rPr>
          <w:rFonts w:ascii="Helvetica" w:hAnsi="Helvetica" w:cs="Helvetica"/>
          <w:spacing w:val="30"/>
        </w:rPr>
        <w:t>海岛县未来一个时期人口总量、年龄结构、城乡结构变化趋势，分析研究人口结构变化对当地经济社会发展和乡村振兴的影响，提出应对措施和政策建议。</w:t>
      </w:r>
    </w:p>
    <w:p w14:paraId="0BEF3836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t>20230205——</w:t>
      </w:r>
      <w:r>
        <w:rPr>
          <w:rFonts w:ascii="Helvetica" w:hAnsi="Helvetica" w:cs="Helvetica"/>
          <w:spacing w:val="30"/>
        </w:rPr>
        <w:t>农业文化遗产保护立法研究</w:t>
      </w:r>
    </w:p>
    <w:p w14:paraId="734C2A22" w14:textId="77777777" w:rsidR="00AA3CDB" w:rsidRDefault="00AA3CDB" w:rsidP="00AA3CDB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rPr>
          <w:rFonts w:ascii="Helvetica" w:hAnsi="Helvetica" w:cs="Helvetica"/>
          <w:spacing w:val="30"/>
        </w:rPr>
      </w:pPr>
      <w:r>
        <w:rPr>
          <w:rFonts w:ascii="Helvetica" w:hAnsi="Helvetica" w:cs="Helvetica"/>
          <w:spacing w:val="30"/>
        </w:rPr>
        <w:lastRenderedPageBreak/>
        <w:t>分析农业文化遗产保护利用的价值意义，梳理当前浙江省农业文化遗产保护利用</w:t>
      </w:r>
      <w:proofErr w:type="gramStart"/>
      <w:r>
        <w:rPr>
          <w:rFonts w:ascii="Helvetica" w:hAnsi="Helvetica" w:cs="Helvetica"/>
          <w:spacing w:val="30"/>
        </w:rPr>
        <w:t>丞</w:t>
      </w:r>
      <w:proofErr w:type="gramEnd"/>
      <w:r>
        <w:rPr>
          <w:rFonts w:ascii="Helvetica" w:hAnsi="Helvetica" w:cs="Helvetica"/>
          <w:spacing w:val="30"/>
        </w:rPr>
        <w:t>需解决的热点、难点问题，总结地方保护利用农业文化遗产的经验做法，完善农业文化遗产保护利用机制，提出法律条文建议。</w:t>
      </w:r>
    </w:p>
    <w:p w14:paraId="7CD2D58D" w14:textId="77777777" w:rsidR="00EC74EA" w:rsidRPr="00AA3CDB" w:rsidRDefault="00EC74EA"/>
    <w:sectPr w:rsidR="00EC74EA" w:rsidRPr="00AA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1B6C"/>
    <w:rsid w:val="00571B6C"/>
    <w:rsid w:val="00AA3CDB"/>
    <w:rsid w:val="00E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50B6-1FE2-4CD6-A6B3-31CDD89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伟伟 施</dc:creator>
  <cp:keywords/>
  <dc:description/>
  <cp:lastModifiedBy>伟伟 施</cp:lastModifiedBy>
  <cp:revision>2</cp:revision>
  <dcterms:created xsi:type="dcterms:W3CDTF">2023-10-09T05:02:00Z</dcterms:created>
  <dcterms:modified xsi:type="dcterms:W3CDTF">2023-10-09T05:03:00Z</dcterms:modified>
</cp:coreProperties>
</file>